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2C" w:rsidRPr="007253B4" w:rsidRDefault="00616375" w:rsidP="00365CEA">
      <w:pPr>
        <w:pStyle w:val="20"/>
        <w:shd w:val="clear" w:color="auto" w:fill="auto"/>
        <w:ind w:left="40"/>
        <w:rPr>
          <w:b/>
        </w:rPr>
      </w:pPr>
      <w:r w:rsidRPr="007253B4">
        <w:rPr>
          <w:b/>
        </w:rPr>
        <w:t>ПАСПОРТ УСЛУГИ (ПРОЦЕССА) СЕТЕВОЙ ОРГАНИЗАЦИИ</w:t>
      </w:r>
      <w:r w:rsidR="000D564E">
        <w:rPr>
          <w:b/>
        </w:rPr>
        <w:t xml:space="preserve"> - </w:t>
      </w:r>
      <w:r w:rsidR="009408C1">
        <w:rPr>
          <w:b/>
        </w:rPr>
        <w:t>ООО «СИБЭНЕРГО»</w:t>
      </w:r>
    </w:p>
    <w:p w:rsidR="0053712C" w:rsidRPr="00C60FB6" w:rsidRDefault="007253B4" w:rsidP="00365CEA">
      <w:pPr>
        <w:pStyle w:val="20"/>
        <w:shd w:val="clear" w:color="auto" w:fill="auto"/>
        <w:ind w:left="40"/>
        <w:rPr>
          <w:b/>
        </w:rPr>
      </w:pPr>
      <w:r w:rsidRPr="00C60FB6">
        <w:rPr>
          <w:b/>
        </w:rPr>
        <w:t>«У</w:t>
      </w:r>
      <w:r w:rsidR="00616375" w:rsidRPr="00C60FB6">
        <w:rPr>
          <w:rStyle w:val="21"/>
          <w:b/>
          <w:u w:val="none"/>
        </w:rPr>
        <w:t>слуга по передаче электрической энергии</w:t>
      </w:r>
      <w:r w:rsidRPr="00C60FB6">
        <w:rPr>
          <w:b/>
        </w:rPr>
        <w:t>»</w:t>
      </w:r>
    </w:p>
    <w:p w:rsidR="007253B4" w:rsidRPr="007253B4" w:rsidRDefault="007253B4" w:rsidP="00365CEA">
      <w:pPr>
        <w:pStyle w:val="20"/>
        <w:shd w:val="clear" w:color="auto" w:fill="auto"/>
        <w:ind w:left="40"/>
      </w:pPr>
    </w:p>
    <w:p w:rsidR="0053712C" w:rsidRDefault="007253B4" w:rsidP="00365CEA">
      <w:pPr>
        <w:pStyle w:val="20"/>
        <w:jc w:val="both"/>
      </w:pPr>
      <w:proofErr w:type="gramStart"/>
      <w:r>
        <w:t xml:space="preserve">КРУГ ЗАЯВИТЕЛЕЙ: лица, владеющие на праве собственности или на ином законном основании </w:t>
      </w:r>
      <w:proofErr w:type="spellStart"/>
      <w:r>
        <w:t>энергопринимающими</w:t>
      </w:r>
      <w:proofErr w:type="spellEnd"/>
      <w:r>
        <w:t xml:space="preserve"> устройствами и (или) объектами электроэнергетики, технологически присоединенные в установленном порядке к электрической сети (в том числе опосредованно) субъекты оптового рынка электрической энергии, осуществляющие экспорт (импорт) электрической энергии, а также </w:t>
      </w:r>
      <w:proofErr w:type="spellStart"/>
      <w:r>
        <w:t>энергосбытовые</w:t>
      </w:r>
      <w:proofErr w:type="spellEnd"/>
      <w:r>
        <w:t xml:space="preserve"> организации и гарантирующие поставщики в интересах обслуживаемых ими потребителей электрической энергии (с 1 января 2013 г. – на</w:t>
      </w:r>
      <w:proofErr w:type="gramEnd"/>
      <w:r>
        <w:t xml:space="preserve"> </w:t>
      </w:r>
      <w:proofErr w:type="gramStart"/>
      <w:r>
        <w:t>условиях</w:t>
      </w:r>
      <w:proofErr w:type="gramEnd"/>
      <w:r>
        <w:t xml:space="preserve"> определения обязательств по оказанию услуг по передаче электрической энергии в отношении точек поставки каждого потребителя электрической энергии, обслуживаемого </w:t>
      </w:r>
      <w:proofErr w:type="spellStart"/>
      <w:r>
        <w:t>энергосбытовой</w:t>
      </w:r>
      <w:proofErr w:type="spellEnd"/>
      <w:r>
        <w:t xml:space="preserve"> организацией и гарантирующим поставщиком).</w:t>
      </w:r>
      <w:r>
        <w:cr/>
      </w:r>
    </w:p>
    <w:p w:rsidR="0053712C" w:rsidRPr="00C60FB6" w:rsidRDefault="00C60FB6" w:rsidP="00365CEA">
      <w:pPr>
        <w:pStyle w:val="20"/>
        <w:jc w:val="both"/>
      </w:pPr>
      <w:r>
        <w:t>РАЗМЕР ПЛАТЫ ЗА ПРЕДОСТАВЛЕНИЕ УСЛУГИ (ПРОЦЕССА) И ОСНОВАНИЕ ЕЕ ВЗИМАНИЯ:</w:t>
      </w:r>
      <w:r w:rsidR="00616375">
        <w:t xml:space="preserve"> </w:t>
      </w:r>
      <w:r w:rsidR="00616375" w:rsidRPr="00C60FB6">
        <w:rPr>
          <w:rStyle w:val="21"/>
          <w:u w:val="none"/>
        </w:rPr>
        <w:t xml:space="preserve">Отчетным периодом для определения объема услуг является один календарный месяц. </w:t>
      </w:r>
      <w:r w:rsidR="00C13536">
        <w:rPr>
          <w:rStyle w:val="21"/>
          <w:u w:val="none"/>
        </w:rPr>
        <w:t>С</w:t>
      </w:r>
      <w:r w:rsidR="00C13536" w:rsidRPr="00C13536">
        <w:rPr>
          <w:rStyle w:val="21"/>
          <w:u w:val="none"/>
        </w:rPr>
        <w:t>тоимость услуг по передаче электрической энергии</w:t>
      </w:r>
      <w:r w:rsidR="00C13536">
        <w:rPr>
          <w:rStyle w:val="21"/>
          <w:u w:val="none"/>
        </w:rPr>
        <w:t xml:space="preserve"> </w:t>
      </w:r>
      <w:r w:rsidR="00C13536" w:rsidRPr="00C13536">
        <w:rPr>
          <w:rStyle w:val="21"/>
          <w:u w:val="none"/>
        </w:rPr>
        <w:t>определяется исходя из тарифа на услуги по</w:t>
      </w:r>
      <w:r w:rsidR="00C13536">
        <w:rPr>
          <w:rStyle w:val="21"/>
          <w:u w:val="none"/>
        </w:rPr>
        <w:t xml:space="preserve"> передаче электрической энергии</w:t>
      </w:r>
      <w:r w:rsidR="00616375" w:rsidRPr="00C60FB6">
        <w:rPr>
          <w:rStyle w:val="21"/>
          <w:u w:val="none"/>
        </w:rPr>
        <w:t xml:space="preserve">, </w:t>
      </w:r>
      <w:proofErr w:type="gramStart"/>
      <w:r w:rsidR="00C13536">
        <w:rPr>
          <w:rStyle w:val="21"/>
          <w:u w:val="none"/>
        </w:rPr>
        <w:t>который</w:t>
      </w:r>
      <w:proofErr w:type="gramEnd"/>
      <w:r w:rsidR="00C13536">
        <w:rPr>
          <w:rStyle w:val="21"/>
          <w:u w:val="none"/>
        </w:rPr>
        <w:t xml:space="preserve"> устанавливает</w:t>
      </w:r>
      <w:r w:rsidR="00616375" w:rsidRPr="00C60FB6">
        <w:rPr>
          <w:rStyle w:val="21"/>
          <w:u w:val="none"/>
        </w:rPr>
        <w:t xml:space="preserve"> РЭК Омской области.</w:t>
      </w:r>
    </w:p>
    <w:p w:rsidR="00C60FB6" w:rsidRDefault="00C60FB6" w:rsidP="00365CEA">
      <w:pPr>
        <w:pStyle w:val="20"/>
        <w:shd w:val="clear" w:color="auto" w:fill="auto"/>
        <w:jc w:val="both"/>
      </w:pPr>
    </w:p>
    <w:p w:rsidR="0053712C" w:rsidRDefault="00C60FB6" w:rsidP="00365CEA">
      <w:pPr>
        <w:pStyle w:val="20"/>
        <w:shd w:val="clear" w:color="auto" w:fill="auto"/>
        <w:jc w:val="both"/>
      </w:pPr>
      <w:r>
        <w:t>УСЛОВИЯ ОКАЗАНИЯ УСЛУГИ (ПРОЦЕССА):</w:t>
      </w:r>
      <w:r w:rsidR="00616375">
        <w:t xml:space="preserve"> </w:t>
      </w:r>
      <w:r w:rsidR="00616375" w:rsidRPr="00C60FB6">
        <w:t xml:space="preserve">смежные сетевые организации оказывают услуги </w:t>
      </w:r>
      <w:r w:rsidR="00616375" w:rsidRPr="00C60FB6">
        <w:rPr>
          <w:rStyle w:val="21"/>
          <w:u w:val="none"/>
        </w:rPr>
        <w:t>путем осуществления комплекса организационно и технологически связанных действий, обеспечивающих передачу электроэнергии и мощности от точек приема до точек поставки.</w:t>
      </w:r>
    </w:p>
    <w:p w:rsidR="00C60FB6" w:rsidRDefault="00C60FB6" w:rsidP="00365CEA">
      <w:pPr>
        <w:pStyle w:val="20"/>
        <w:shd w:val="clear" w:color="auto" w:fill="auto"/>
        <w:jc w:val="both"/>
      </w:pPr>
    </w:p>
    <w:p w:rsidR="0053712C" w:rsidRPr="00C60FB6" w:rsidRDefault="00C60FB6" w:rsidP="00365CEA">
      <w:pPr>
        <w:pStyle w:val="20"/>
        <w:shd w:val="clear" w:color="auto" w:fill="auto"/>
        <w:jc w:val="both"/>
      </w:pPr>
      <w:r>
        <w:t xml:space="preserve">РЕЗУЛЬТАТ ОКАЗАНИЯ УСЛУГИ (ПРОЦЕССА): </w:t>
      </w:r>
      <w:r>
        <w:rPr>
          <w:rStyle w:val="21"/>
          <w:u w:val="none"/>
        </w:rPr>
        <w:t>п</w:t>
      </w:r>
      <w:r w:rsidR="000D564E">
        <w:rPr>
          <w:rStyle w:val="21"/>
          <w:u w:val="none"/>
        </w:rPr>
        <w:t>редоставление ОАО «ТрансЭнерго</w:t>
      </w:r>
      <w:r w:rsidR="00616375" w:rsidRPr="00C60FB6">
        <w:rPr>
          <w:rStyle w:val="21"/>
          <w:u w:val="none"/>
        </w:rPr>
        <w:t>» услуги по передаче электроэнергии.</w:t>
      </w:r>
    </w:p>
    <w:p w:rsidR="00C60FB6" w:rsidRDefault="00C60FB6" w:rsidP="00365CEA">
      <w:pPr>
        <w:pStyle w:val="20"/>
        <w:shd w:val="clear" w:color="auto" w:fill="auto"/>
        <w:jc w:val="both"/>
      </w:pPr>
    </w:p>
    <w:p w:rsidR="0053712C" w:rsidRDefault="00C60FB6" w:rsidP="00365CEA">
      <w:pPr>
        <w:pStyle w:val="20"/>
        <w:shd w:val="clear" w:color="auto" w:fill="auto"/>
        <w:jc w:val="both"/>
      </w:pPr>
      <w:r>
        <w:t>ОБЩИЙ СРОК ОКАЗАНИЯ У</w:t>
      </w:r>
      <w:r w:rsidR="00365CEA">
        <w:t xml:space="preserve">СЛУГИ (ПРОЦЕССА): с </w:t>
      </w:r>
      <w:r w:rsidR="000D564E">
        <w:t>01.03</w:t>
      </w:r>
      <w:r w:rsidR="00CA5FC1">
        <w:t>.</w:t>
      </w:r>
      <w:r w:rsidR="000D564E">
        <w:t>2013</w:t>
      </w:r>
      <w:r w:rsidR="00616375">
        <w:t xml:space="preserve"> г</w:t>
      </w:r>
      <w:proofErr w:type="gramStart"/>
      <w:r w:rsidR="00616375">
        <w:t>.</w:t>
      </w:r>
      <w:r w:rsidR="00CA5FC1">
        <w:t>.</w:t>
      </w:r>
      <w:proofErr w:type="gramEnd"/>
    </w:p>
    <w:p w:rsidR="00C60FB6" w:rsidRDefault="00C60FB6" w:rsidP="00365CEA">
      <w:pPr>
        <w:pStyle w:val="20"/>
        <w:shd w:val="clear" w:color="auto" w:fill="auto"/>
        <w:jc w:val="both"/>
      </w:pPr>
    </w:p>
    <w:p w:rsidR="0053712C" w:rsidRDefault="00C60FB6" w:rsidP="00365CEA">
      <w:pPr>
        <w:pStyle w:val="20"/>
        <w:shd w:val="clear" w:color="auto" w:fill="auto"/>
        <w:jc w:val="both"/>
      </w:pPr>
      <w:r>
        <w:t>СОСТАВ, ПОСЛЕДОВАТЕЛЬНОСТЬ И СРОКИ ОКАЗАНИЯ УСЛУГИ (ПРОЦЕССА):</w:t>
      </w:r>
    </w:p>
    <w:p w:rsidR="00C60FB6" w:rsidRDefault="00C60FB6">
      <w:pPr>
        <w:pStyle w:val="20"/>
        <w:shd w:val="clear" w:color="auto" w:fill="auto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1699"/>
        <w:gridCol w:w="2227"/>
        <w:gridCol w:w="1805"/>
        <w:gridCol w:w="1528"/>
        <w:gridCol w:w="1841"/>
      </w:tblGrid>
      <w:tr w:rsidR="0053712C" w:rsidRPr="00616375" w:rsidTr="00616375">
        <w:trPr>
          <w:trHeight w:hRule="exact" w:val="7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200" w:lineRule="exact"/>
              <w:rPr>
                <w:b/>
                <w:sz w:val="16"/>
                <w:szCs w:val="16"/>
              </w:rPr>
            </w:pPr>
            <w:r w:rsidRPr="00616375">
              <w:rPr>
                <w:rStyle w:val="22"/>
                <w:b/>
                <w:sz w:val="16"/>
                <w:szCs w:val="16"/>
              </w:rPr>
              <w:t>№</w:t>
            </w:r>
          </w:p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line="20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616375">
              <w:rPr>
                <w:rStyle w:val="22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16375">
              <w:rPr>
                <w:rStyle w:val="22"/>
                <w:b/>
                <w:sz w:val="16"/>
                <w:szCs w:val="16"/>
              </w:rPr>
              <w:t>/</w:t>
            </w:r>
            <w:proofErr w:type="spellStart"/>
            <w:r w:rsidRPr="00616375">
              <w:rPr>
                <w:rStyle w:val="22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00" w:lineRule="exact"/>
              <w:rPr>
                <w:b/>
                <w:sz w:val="16"/>
                <w:szCs w:val="16"/>
              </w:rPr>
            </w:pPr>
            <w:r w:rsidRPr="00616375">
              <w:rPr>
                <w:rStyle w:val="22"/>
                <w:b/>
                <w:sz w:val="16"/>
                <w:szCs w:val="16"/>
              </w:rPr>
              <w:t>ЭТАП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rStyle w:val="22"/>
                <w:b/>
                <w:sz w:val="16"/>
                <w:szCs w:val="16"/>
              </w:rPr>
            </w:pPr>
            <w:r>
              <w:rPr>
                <w:rStyle w:val="22"/>
                <w:b/>
                <w:sz w:val="16"/>
                <w:szCs w:val="16"/>
              </w:rPr>
              <w:t>СОДЕРЖАНИЕ/</w:t>
            </w:r>
          </w:p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b/>
                <w:sz w:val="16"/>
                <w:szCs w:val="16"/>
              </w:rPr>
            </w:pPr>
            <w:r>
              <w:rPr>
                <w:rStyle w:val="22"/>
                <w:b/>
                <w:sz w:val="16"/>
                <w:szCs w:val="16"/>
              </w:rPr>
              <w:t>У</w:t>
            </w:r>
            <w:r w:rsidRPr="00616375">
              <w:rPr>
                <w:rStyle w:val="22"/>
                <w:b/>
                <w:sz w:val="16"/>
                <w:szCs w:val="16"/>
              </w:rPr>
              <w:t>СЛОВИЯ ЭТАПА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200" w:lineRule="exact"/>
              <w:rPr>
                <w:b/>
                <w:sz w:val="16"/>
                <w:szCs w:val="16"/>
              </w:rPr>
            </w:pPr>
            <w:r w:rsidRPr="00616375">
              <w:rPr>
                <w:rStyle w:val="22"/>
                <w:b/>
                <w:sz w:val="16"/>
                <w:szCs w:val="16"/>
              </w:rPr>
              <w:t>ФОРМА</w:t>
            </w:r>
          </w:p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line="200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b/>
                <w:sz w:val="16"/>
                <w:szCs w:val="16"/>
              </w:rPr>
              <w:t>ПРЕДОСТАВЛЕНИЯ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200" w:lineRule="exact"/>
              <w:rPr>
                <w:b/>
                <w:color w:val="auto"/>
                <w:sz w:val="16"/>
                <w:szCs w:val="16"/>
              </w:rPr>
            </w:pPr>
            <w:r w:rsidRPr="00616375">
              <w:rPr>
                <w:rStyle w:val="22"/>
                <w:b/>
                <w:color w:val="auto"/>
                <w:sz w:val="16"/>
                <w:szCs w:val="16"/>
              </w:rPr>
              <w:t>СРОК</w:t>
            </w:r>
          </w:p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line="200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b/>
                <w:color w:val="auto"/>
                <w:sz w:val="16"/>
                <w:szCs w:val="16"/>
              </w:rPr>
              <w:t>ИСПОЛНЕНИЯ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26" w:lineRule="exact"/>
              <w:ind w:left="220" w:firstLine="140"/>
              <w:jc w:val="left"/>
              <w:rPr>
                <w:b/>
                <w:sz w:val="16"/>
                <w:szCs w:val="16"/>
              </w:rPr>
            </w:pPr>
            <w:r w:rsidRPr="00616375">
              <w:rPr>
                <w:rStyle w:val="22"/>
                <w:b/>
                <w:sz w:val="16"/>
                <w:szCs w:val="16"/>
              </w:rPr>
              <w:t xml:space="preserve">ССЫЛКА </w:t>
            </w:r>
            <w:r>
              <w:rPr>
                <w:rStyle w:val="22"/>
                <w:b/>
                <w:sz w:val="16"/>
                <w:szCs w:val="16"/>
              </w:rPr>
              <w:t xml:space="preserve"> </w:t>
            </w:r>
            <w:r w:rsidRPr="00616375">
              <w:rPr>
                <w:rStyle w:val="22"/>
                <w:b/>
                <w:sz w:val="16"/>
                <w:szCs w:val="16"/>
              </w:rPr>
              <w:t>НА НОРМАТИВНЫЙ ПРАВОВОЙ АКТ</w:t>
            </w:r>
          </w:p>
        </w:tc>
      </w:tr>
      <w:tr w:rsidR="0053712C" w:rsidRPr="00616375" w:rsidTr="00CA5FC1">
        <w:trPr>
          <w:trHeight w:hRule="exact" w:val="1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00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CA5FC1">
            <w:pPr>
              <w:pStyle w:val="20"/>
              <w:framePr w:w="9638" w:wrap="notBeside" w:vAnchor="text" w:hAnchor="text" w:xAlign="center" w:y="1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Представление договора оказания услуг по передаче электрической энергии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Договор с приложениями на бумажном носителе.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30 дней со дня получения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rStyle w:val="22"/>
                <w:sz w:val="16"/>
                <w:szCs w:val="16"/>
              </w:rPr>
            </w:pPr>
            <w:r>
              <w:rPr>
                <w:rStyle w:val="22"/>
                <w:sz w:val="16"/>
                <w:szCs w:val="16"/>
              </w:rPr>
              <w:t>ПП</w:t>
            </w:r>
            <w:r w:rsidRPr="00616375">
              <w:rPr>
                <w:rStyle w:val="22"/>
                <w:sz w:val="16"/>
                <w:szCs w:val="16"/>
              </w:rPr>
              <w:t xml:space="preserve"> РФ № 861 от 27.12.2004 </w:t>
            </w:r>
          </w:p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и ПП РФ № 442 от 04.05.2012</w:t>
            </w:r>
          </w:p>
        </w:tc>
      </w:tr>
      <w:tr w:rsidR="0053712C" w:rsidRPr="00616375" w:rsidTr="00CA5FC1">
        <w:trPr>
          <w:trHeight w:hRule="exact" w:val="20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00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Фиксация показаний приборов учета электроэнергии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Снятие показаний приборов учета у потребителей и на подстанциях в ручном и автоматическом режиме (показания из АИИС КУЭ)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Акт снятия показаний приборов учета (реестры), сбор данных из АИИС КУЭ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В установленном порядке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FC1" w:rsidRDefault="00616375" w:rsidP="00CA5FC1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rStyle w:val="22"/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В соответствии с условиями договора оказания услуг по передаче электрической энергии</w:t>
            </w:r>
          </w:p>
          <w:p w:rsidR="0053712C" w:rsidRPr="00616375" w:rsidRDefault="00616375" w:rsidP="00CA5FC1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и ПП РФ № 442 от 04.05.2012</w:t>
            </w:r>
          </w:p>
        </w:tc>
      </w:tr>
      <w:tr w:rsidR="0053712C" w:rsidRPr="00616375" w:rsidTr="00CA5FC1">
        <w:trPr>
          <w:trHeight w:hRule="exact" w:val="20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00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Формирование объема услуги по передаче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Согласование объема переданной электроэнергии с гарантирующим поставщиком и смежными сетевыми организациями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26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Ведомость объемов передачи электроэнергии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В установленном порядке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FC1" w:rsidRDefault="00616375" w:rsidP="00CA5FC1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rStyle w:val="22"/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 xml:space="preserve">В соответствии с условиями договора оказания услуг по передаче электрической энергии </w:t>
            </w:r>
          </w:p>
          <w:p w:rsidR="0053712C" w:rsidRPr="00616375" w:rsidRDefault="00616375" w:rsidP="00CA5FC1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и ПП РФ № 442 от 04.05.2012</w:t>
            </w:r>
          </w:p>
        </w:tc>
      </w:tr>
      <w:tr w:rsidR="0053712C" w:rsidRPr="00616375" w:rsidTr="00CA5FC1">
        <w:trPr>
          <w:trHeight w:hRule="exact" w:val="186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spacing w:line="200" w:lineRule="exact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Формирование акта оказанных услуг.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12C" w:rsidRPr="00616375" w:rsidRDefault="00616375" w:rsidP="00CA5FC1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Фиксация объемов переданной электро</w:t>
            </w:r>
            <w:r w:rsidRPr="00616375">
              <w:rPr>
                <w:rStyle w:val="22"/>
                <w:sz w:val="16"/>
                <w:szCs w:val="16"/>
              </w:rPr>
              <w:softHyphen/>
              <w:t>энергии и мощности, расчет финансовых обязательств по оплате в соответствии с утвержденными тарифами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Сводная ведомость, акт оказанных услуг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712C" w:rsidRPr="00616375" w:rsidRDefault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В установленном порядке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12C" w:rsidRPr="00616375" w:rsidRDefault="00616375" w:rsidP="00616375">
            <w:pPr>
              <w:pStyle w:val="20"/>
              <w:framePr w:w="9638" w:wrap="notBeside" w:vAnchor="text" w:hAnchor="text" w:xAlign="center" w:y="1"/>
              <w:shd w:val="clear" w:color="auto" w:fill="auto"/>
              <w:rPr>
                <w:sz w:val="16"/>
                <w:szCs w:val="16"/>
              </w:rPr>
            </w:pPr>
            <w:r w:rsidRPr="00616375">
              <w:rPr>
                <w:rStyle w:val="22"/>
                <w:sz w:val="16"/>
                <w:szCs w:val="16"/>
              </w:rPr>
              <w:t>В соответствии с условиями договора оказания услуг по передаче электрической энергии</w:t>
            </w:r>
          </w:p>
        </w:tc>
      </w:tr>
    </w:tbl>
    <w:p w:rsidR="0053712C" w:rsidRDefault="0053712C">
      <w:pPr>
        <w:framePr w:w="9638" w:wrap="notBeside" w:vAnchor="text" w:hAnchor="text" w:xAlign="center" w:y="1"/>
        <w:rPr>
          <w:sz w:val="2"/>
          <w:szCs w:val="2"/>
        </w:rPr>
      </w:pPr>
    </w:p>
    <w:p w:rsidR="0053712C" w:rsidRDefault="0053712C">
      <w:pPr>
        <w:rPr>
          <w:sz w:val="2"/>
          <w:szCs w:val="2"/>
        </w:rPr>
      </w:pPr>
    </w:p>
    <w:p w:rsidR="00616375" w:rsidRPr="00616375" w:rsidRDefault="00616375">
      <w:pPr>
        <w:pStyle w:val="20"/>
        <w:shd w:val="clear" w:color="auto" w:fill="auto"/>
        <w:ind w:right="2180"/>
        <w:jc w:val="left"/>
      </w:pPr>
    </w:p>
    <w:sectPr w:rsidR="00616375" w:rsidRPr="00616375" w:rsidSect="0053712C">
      <w:pgSz w:w="11900" w:h="16840"/>
      <w:pgMar w:top="508" w:right="682" w:bottom="508" w:left="15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289" w:rsidRDefault="00A60289" w:rsidP="0053712C">
      <w:r>
        <w:separator/>
      </w:r>
    </w:p>
  </w:endnote>
  <w:endnote w:type="continuationSeparator" w:id="0">
    <w:p w:rsidR="00A60289" w:rsidRDefault="00A60289" w:rsidP="0053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289" w:rsidRDefault="00A60289"/>
  </w:footnote>
  <w:footnote w:type="continuationSeparator" w:id="0">
    <w:p w:rsidR="00A60289" w:rsidRDefault="00A602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712C"/>
    <w:rsid w:val="000148D0"/>
    <w:rsid w:val="000D564E"/>
    <w:rsid w:val="0032568E"/>
    <w:rsid w:val="00365CEA"/>
    <w:rsid w:val="004B17A0"/>
    <w:rsid w:val="0053712C"/>
    <w:rsid w:val="005873E2"/>
    <w:rsid w:val="00616375"/>
    <w:rsid w:val="007253B4"/>
    <w:rsid w:val="00757451"/>
    <w:rsid w:val="009408C1"/>
    <w:rsid w:val="00A60289"/>
    <w:rsid w:val="00B1777D"/>
    <w:rsid w:val="00C13536"/>
    <w:rsid w:val="00C60FB6"/>
    <w:rsid w:val="00CA5FC1"/>
    <w:rsid w:val="00DC7290"/>
    <w:rsid w:val="00EA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1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712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37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53712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53712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3712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1637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HomeTOWN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Великий</cp:lastModifiedBy>
  <cp:revision>12</cp:revision>
  <dcterms:created xsi:type="dcterms:W3CDTF">2014-12-01T09:23:00Z</dcterms:created>
  <dcterms:modified xsi:type="dcterms:W3CDTF">2017-11-10T08:03:00Z</dcterms:modified>
</cp:coreProperties>
</file>